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17334" w14:textId="211DE4C1" w:rsidR="006933B1" w:rsidRDefault="000010B1" w:rsidP="000010B1">
      <w:pPr>
        <w:jc w:val="both"/>
        <w:rPr>
          <w:b/>
          <w:bCs/>
        </w:rPr>
      </w:pPr>
      <w:r>
        <w:rPr>
          <w:b/>
          <w:bCs/>
        </w:rPr>
        <w:t xml:space="preserve">Anexo  </w:t>
      </w:r>
      <w:r w:rsidR="006933B1" w:rsidRPr="000010B1">
        <w:rPr>
          <w:b/>
          <w:bCs/>
        </w:rPr>
        <w:t>Determinación del Volumen de Diseño</w:t>
      </w:r>
      <w:r w:rsidR="004A4952" w:rsidRPr="000010B1">
        <w:rPr>
          <w:b/>
          <w:bCs/>
        </w:rPr>
        <w:t xml:space="preserve"> para</w:t>
      </w:r>
      <w:r>
        <w:rPr>
          <w:b/>
          <w:bCs/>
        </w:rPr>
        <w:t xml:space="preserve"> obras de acumulación </w:t>
      </w:r>
      <w:r w:rsidR="004A4952" w:rsidRPr="000010B1">
        <w:rPr>
          <w:b/>
          <w:bCs/>
        </w:rPr>
        <w:t xml:space="preserve"> regiones Atacama, Coquimbo</w:t>
      </w:r>
      <w:r w:rsidR="00B70BCF" w:rsidRPr="000010B1">
        <w:rPr>
          <w:b/>
          <w:bCs/>
        </w:rPr>
        <w:t xml:space="preserve"> y </w:t>
      </w:r>
      <w:r w:rsidR="004A4952" w:rsidRPr="000010B1">
        <w:rPr>
          <w:b/>
          <w:bCs/>
        </w:rPr>
        <w:t>Valparaíso.</w:t>
      </w:r>
    </w:p>
    <w:p w14:paraId="798ADCDE" w14:textId="53FD3099" w:rsidR="003E456C" w:rsidRPr="000010B1" w:rsidRDefault="003E456C" w:rsidP="000010B1">
      <w:pPr>
        <w:jc w:val="both"/>
        <w:rPr>
          <w:b/>
          <w:bCs/>
        </w:rPr>
      </w:pPr>
      <w:r>
        <w:rPr>
          <w:b/>
          <w:bCs/>
        </w:rPr>
        <w:t>Programa Pequeña Agricultura.</w:t>
      </w:r>
    </w:p>
    <w:p w14:paraId="631D820E" w14:textId="77777777" w:rsidR="006933B1" w:rsidRPr="00E109EB" w:rsidRDefault="006933B1" w:rsidP="006933B1">
      <w:pPr>
        <w:pStyle w:val="Prrafodelista"/>
        <w:jc w:val="both"/>
        <w:rPr>
          <w:b/>
          <w:bCs/>
        </w:rPr>
      </w:pPr>
    </w:p>
    <w:p w14:paraId="7E135023" w14:textId="77777777" w:rsidR="006933B1" w:rsidRPr="00E109EB" w:rsidRDefault="006933B1" w:rsidP="006933B1">
      <w:pPr>
        <w:pStyle w:val="Prrafodelista"/>
        <w:numPr>
          <w:ilvl w:val="0"/>
          <w:numId w:val="4"/>
        </w:numPr>
        <w:jc w:val="both"/>
        <w:rPr>
          <w:b/>
          <w:bCs/>
        </w:rPr>
      </w:pPr>
      <w:r w:rsidRPr="00E109EB">
        <w:rPr>
          <w:b/>
          <w:bCs/>
        </w:rPr>
        <w:t>Derechos de agua del tipo superficial</w:t>
      </w:r>
    </w:p>
    <w:p w14:paraId="45F654FC" w14:textId="77777777" w:rsidR="006933B1" w:rsidRDefault="006933B1" w:rsidP="006933B1">
      <w:pPr>
        <w:jc w:val="both"/>
      </w:pPr>
      <w:r>
        <w:t xml:space="preserve">Para proyectos que contemplen obras de acumulación intrapredial por turno y que cuenten con derechos de agua del tipo </w:t>
      </w:r>
      <w:r w:rsidRPr="00250B33">
        <w:t>superficial,</w:t>
      </w:r>
      <w:r>
        <w:t xml:space="preserve"> permanente y continuo, el cálculo del </w:t>
      </w:r>
      <w:r w:rsidRPr="00250B33">
        <w:rPr>
          <w:u w:val="single"/>
        </w:rPr>
        <w:t>volumen máximo de diseño</w:t>
      </w:r>
      <w:r>
        <w:t xml:space="preserve"> estará dado por:</w:t>
      </w:r>
    </w:p>
    <w:p w14:paraId="16273492" w14:textId="77777777" w:rsidR="006933B1" w:rsidRPr="0081356C" w:rsidRDefault="006933B1" w:rsidP="006933B1">
      <w:pPr>
        <w:pStyle w:val="Prrafodelista"/>
        <w:jc w:val="both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V acumulación (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m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>)=Q porteo canal entrada(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lt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s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) x horas (hr) x 3,6 (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*s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lt*hr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)</m:t>
          </m:r>
        </m:oMath>
      </m:oMathPara>
    </w:p>
    <w:p w14:paraId="79188387" w14:textId="77777777" w:rsidR="006933B1" w:rsidRPr="00EE2089" w:rsidRDefault="006933B1" w:rsidP="006933B1">
      <w:pPr>
        <w:jc w:val="both"/>
      </w:pPr>
      <w:r w:rsidRPr="00EE2089">
        <w:t>Donde:</w:t>
      </w:r>
    </w:p>
    <w:p w14:paraId="3C7ABE9D" w14:textId="77777777" w:rsidR="006933B1" w:rsidRPr="00EE2089" w:rsidRDefault="006933B1" w:rsidP="006933B1">
      <w:pPr>
        <w:jc w:val="both"/>
      </w:pPr>
      <w:r w:rsidRPr="00EE2089">
        <w:t xml:space="preserve">V acumulación </w:t>
      </w:r>
      <w:r>
        <w:t>(</w:t>
      </w:r>
      <w:r w:rsidRPr="00EE2089">
        <w:t>m</w:t>
      </w:r>
      <w:r>
        <w:t>³)</w:t>
      </w:r>
      <w:r w:rsidRPr="00EE2089">
        <w:t>: Volumen de acumulación útil del embalse en m</w:t>
      </w:r>
      <w:r>
        <w:t>³</w:t>
      </w:r>
      <w:r w:rsidRPr="00EE2089">
        <w:t>.</w:t>
      </w:r>
    </w:p>
    <w:p w14:paraId="4BEF6E84" w14:textId="77777777" w:rsidR="006933B1" w:rsidRPr="00EE2089" w:rsidRDefault="006933B1" w:rsidP="006933B1">
      <w:pPr>
        <w:jc w:val="both"/>
      </w:pPr>
      <w:r w:rsidRPr="00EE2089">
        <w:t xml:space="preserve">Q porteo canal entrada </w:t>
      </w:r>
      <w:r>
        <w:t>(</w:t>
      </w:r>
      <w:r w:rsidRPr="00EE2089">
        <w:t>lt/s</w:t>
      </w:r>
      <w:r>
        <w:t>)</w:t>
      </w:r>
      <w:r w:rsidRPr="00EE2089">
        <w:t>: Caudal de porteo del canal alimentador del embalse en lt/s</w:t>
      </w:r>
      <w:r>
        <w:t>.</w:t>
      </w:r>
    </w:p>
    <w:p w14:paraId="3B6FA3DB" w14:textId="77777777" w:rsidR="006933B1" w:rsidRPr="00EE2089" w:rsidRDefault="006933B1" w:rsidP="006933B1">
      <w:pPr>
        <w:jc w:val="both"/>
      </w:pPr>
      <w:r>
        <w:t>h</w:t>
      </w:r>
      <w:r w:rsidRPr="00EE2089">
        <w:t xml:space="preserve">oras </w:t>
      </w:r>
      <w:r>
        <w:t>(</w:t>
      </w:r>
      <w:r w:rsidRPr="00EE2089">
        <w:t>hr</w:t>
      </w:r>
      <w:r>
        <w:t>)</w:t>
      </w:r>
      <w:r w:rsidRPr="00EE2089">
        <w:t>: horas de entrega de agua en el mes de máxima demanda</w:t>
      </w:r>
      <w:r>
        <w:t>,</w:t>
      </w:r>
      <w:r w:rsidRPr="00EE2089">
        <w:t xml:space="preserve"> conforme a lo indicado en certificado.</w:t>
      </w:r>
    </w:p>
    <w:p w14:paraId="44EDE399" w14:textId="77777777" w:rsidR="006933B1" w:rsidRDefault="006933B1" w:rsidP="006933B1">
      <w:pPr>
        <w:jc w:val="both"/>
      </w:pPr>
      <w:r>
        <w:t>Para lo anterior:</w:t>
      </w:r>
    </w:p>
    <w:p w14:paraId="754132A8" w14:textId="77777777" w:rsidR="006933B1" w:rsidRDefault="006933B1" w:rsidP="006933B1">
      <w:pPr>
        <w:pStyle w:val="Prrafodelista"/>
        <w:numPr>
          <w:ilvl w:val="0"/>
          <w:numId w:val="1"/>
        </w:numPr>
        <w:jc w:val="both"/>
      </w:pPr>
      <w:r>
        <w:t>Se deberá adjuntar un certificado emitido por la organización de aguas correspondiente, que indique el caudal otorgado en el turno en el mes de máxima demanda y las horas de acumulación que contiene el turno otorgado al postulante del proyecto (horas de entrega y horas de corta).</w:t>
      </w:r>
    </w:p>
    <w:p w14:paraId="61413B35" w14:textId="77777777" w:rsidR="006933B1" w:rsidRDefault="006933B1" w:rsidP="006933B1">
      <w:pPr>
        <w:pStyle w:val="Prrafodelista"/>
        <w:jc w:val="both"/>
      </w:pPr>
    </w:p>
    <w:p w14:paraId="1E895AEA" w14:textId="77777777" w:rsidR="006933B1" w:rsidRDefault="006933B1" w:rsidP="006933B1">
      <w:pPr>
        <w:pStyle w:val="Prrafodelista"/>
        <w:numPr>
          <w:ilvl w:val="0"/>
          <w:numId w:val="1"/>
        </w:numPr>
        <w:jc w:val="both"/>
      </w:pPr>
      <w:r>
        <w:t>Para el dimensionamiento del volumen del acumulador proyectado se solicitarán antecedentes del canal principal (matriz) y canal intrapredial que conduce las aguas hacia el tranque proyectado. Estos antecedentes (dimensiones, materialidad, pendiente, estado en que se encuentra) deberán ser incorporados en el informe de deficiencias y deberá contener las fotografías.</w:t>
      </w:r>
    </w:p>
    <w:p w14:paraId="167183C0" w14:textId="77777777" w:rsidR="006933B1" w:rsidRDefault="006933B1" w:rsidP="006933B1">
      <w:pPr>
        <w:pStyle w:val="Prrafodelista"/>
        <w:jc w:val="both"/>
      </w:pPr>
    </w:p>
    <w:p w14:paraId="1BD80DD5" w14:textId="77777777" w:rsidR="006933B1" w:rsidRDefault="006933B1" w:rsidP="006933B1">
      <w:pPr>
        <w:pStyle w:val="Prrafodelista"/>
        <w:numPr>
          <w:ilvl w:val="0"/>
          <w:numId w:val="1"/>
        </w:numPr>
        <w:jc w:val="both"/>
      </w:pPr>
      <w:r>
        <w:t>El turno se limitará a un máximo de 18 horas de entrega.</w:t>
      </w:r>
    </w:p>
    <w:p w14:paraId="5C56D63E" w14:textId="77777777" w:rsidR="006933B1" w:rsidRDefault="006933B1" w:rsidP="006933B1">
      <w:pPr>
        <w:jc w:val="both"/>
      </w:pPr>
    </w:p>
    <w:p w14:paraId="54B5CAA0" w14:textId="6D9B5BDD" w:rsidR="006933B1" w:rsidRDefault="006933B1" w:rsidP="006933B1">
      <w:pPr>
        <w:pStyle w:val="Prrafodelista"/>
        <w:numPr>
          <w:ilvl w:val="0"/>
          <w:numId w:val="1"/>
        </w:numPr>
        <w:jc w:val="both"/>
      </w:pPr>
      <w:r>
        <w:t xml:space="preserve">Deberá acompañar un balance hídrico, correspondiente a la temporada de riego, donde quede determinada la demanda del cultivo y la superficie de riego, considerando el Q85%. </w:t>
      </w:r>
    </w:p>
    <w:p w14:paraId="5D2B2F5E" w14:textId="77777777" w:rsidR="006933B1" w:rsidRDefault="006933B1" w:rsidP="006933B1">
      <w:pPr>
        <w:jc w:val="both"/>
      </w:pPr>
    </w:p>
    <w:p w14:paraId="5CC521C8" w14:textId="5C9CA936" w:rsidR="006933B1" w:rsidRPr="00250B33" w:rsidRDefault="006933B1" w:rsidP="006933B1">
      <w:pPr>
        <w:pStyle w:val="Prrafodelista"/>
        <w:numPr>
          <w:ilvl w:val="0"/>
          <w:numId w:val="4"/>
        </w:numPr>
        <w:jc w:val="both"/>
        <w:rPr>
          <w:b/>
          <w:bCs/>
        </w:rPr>
      </w:pPr>
      <w:r w:rsidRPr="00250B33">
        <w:rPr>
          <w:b/>
          <w:bCs/>
        </w:rPr>
        <w:t>Derechos de agua del tipo subterráneo</w:t>
      </w:r>
      <w:r w:rsidR="004A4952">
        <w:rPr>
          <w:b/>
          <w:bCs/>
        </w:rPr>
        <w:t xml:space="preserve"> (se exceptúa art. 56°)</w:t>
      </w:r>
    </w:p>
    <w:p w14:paraId="11ADE06F" w14:textId="77777777" w:rsidR="006933B1" w:rsidRDefault="006933B1" w:rsidP="006933B1">
      <w:pPr>
        <w:jc w:val="both"/>
      </w:pPr>
      <w:r>
        <w:t xml:space="preserve">Para proyectos que contemplen obras de acumulación intrapredial y que cuenten con derechos de agua del tipo </w:t>
      </w:r>
      <w:r w:rsidRPr="00250B33">
        <w:t>subterráne</w:t>
      </w:r>
      <w:r>
        <w:t>os</w:t>
      </w:r>
      <w:r w:rsidRPr="00250B33">
        <w:t>,</w:t>
      </w:r>
      <w:r>
        <w:t xml:space="preserve"> el cálculo del </w:t>
      </w:r>
      <w:r w:rsidRPr="006A00FF">
        <w:rPr>
          <w:u w:val="single"/>
        </w:rPr>
        <w:t xml:space="preserve">volumen </w:t>
      </w:r>
      <w:r>
        <w:rPr>
          <w:u w:val="single"/>
        </w:rPr>
        <w:t xml:space="preserve">máximo </w:t>
      </w:r>
      <w:r w:rsidRPr="006A00FF">
        <w:rPr>
          <w:u w:val="single"/>
        </w:rPr>
        <w:t>de diseño</w:t>
      </w:r>
      <w:r>
        <w:t xml:space="preserve"> estará dado por:</w:t>
      </w:r>
    </w:p>
    <w:p w14:paraId="5687AF94" w14:textId="77777777" w:rsidR="006933B1" w:rsidRPr="0081356C" w:rsidRDefault="006933B1" w:rsidP="006933B1">
      <w:pPr>
        <w:pStyle w:val="Prrafodelista"/>
        <w:jc w:val="both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 xml:space="preserve">V acumulación 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sz w:val="20"/>
              <w:szCs w:val="20"/>
            </w:rPr>
            <m:t>=Q85%pozo(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lt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s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) x horas (hr) x 3,6 (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*s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lt*hr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)</m:t>
          </m:r>
        </m:oMath>
      </m:oMathPara>
    </w:p>
    <w:p w14:paraId="2E67B5E1" w14:textId="77777777" w:rsidR="006933B1" w:rsidRPr="00EE2089" w:rsidRDefault="006933B1" w:rsidP="006933B1">
      <w:pPr>
        <w:jc w:val="both"/>
      </w:pPr>
      <w:r w:rsidRPr="00EE2089">
        <w:lastRenderedPageBreak/>
        <w:t>Donde:</w:t>
      </w:r>
    </w:p>
    <w:p w14:paraId="5BB94EE8" w14:textId="77777777" w:rsidR="006933B1" w:rsidRPr="00EE2089" w:rsidRDefault="006933B1" w:rsidP="006933B1">
      <w:pPr>
        <w:jc w:val="both"/>
      </w:pPr>
      <w:r w:rsidRPr="00EE2089">
        <w:t xml:space="preserve">V acumulación </w:t>
      </w:r>
      <w:r>
        <w:t>(</w:t>
      </w:r>
      <w:r w:rsidRPr="00EE2089">
        <w:t>m</w:t>
      </w:r>
      <w:r>
        <w:t>³)</w:t>
      </w:r>
      <w:r w:rsidRPr="00EE2089">
        <w:t>: Volumen de acumulación útil del embalse en m</w:t>
      </w:r>
      <w:r>
        <w:t>³</w:t>
      </w:r>
      <w:r w:rsidRPr="00EE2089">
        <w:t>.</w:t>
      </w:r>
    </w:p>
    <w:p w14:paraId="6F14EFC6" w14:textId="77777777" w:rsidR="006933B1" w:rsidRPr="00EE2089" w:rsidRDefault="006933B1" w:rsidP="006933B1">
      <w:pPr>
        <w:jc w:val="both"/>
      </w:pPr>
      <w:r w:rsidRPr="00EE2089">
        <w:t>Q</w:t>
      </w:r>
      <w:r>
        <w:t>85%pozo</w:t>
      </w:r>
      <w:r w:rsidRPr="00EE2089">
        <w:t xml:space="preserve"> </w:t>
      </w:r>
      <w:r>
        <w:t>(</w:t>
      </w:r>
      <w:r w:rsidRPr="00EE2089">
        <w:t>lt/s</w:t>
      </w:r>
      <w:r>
        <w:t>)</w:t>
      </w:r>
      <w:r w:rsidRPr="00EE2089">
        <w:t>: Caudal</w:t>
      </w:r>
      <w:r>
        <w:t xml:space="preserve"> con probabilidad de excedencia del 85% del pozo, de acuerdo a inscripción.</w:t>
      </w:r>
    </w:p>
    <w:p w14:paraId="113F6270" w14:textId="77777777" w:rsidR="006933B1" w:rsidRPr="00EE2089" w:rsidRDefault="006933B1" w:rsidP="006933B1">
      <w:pPr>
        <w:jc w:val="both"/>
      </w:pPr>
      <w:r>
        <w:t>h</w:t>
      </w:r>
      <w:r w:rsidRPr="00EE2089">
        <w:t xml:space="preserve">oras </w:t>
      </w:r>
      <w:r>
        <w:t>(</w:t>
      </w:r>
      <w:r w:rsidRPr="00EE2089">
        <w:t>hr</w:t>
      </w:r>
      <w:r>
        <w:t>)</w:t>
      </w:r>
      <w:r w:rsidRPr="00EE2089">
        <w:t xml:space="preserve">: horas de </w:t>
      </w:r>
      <w:r>
        <w:t xml:space="preserve">bombeo. Considerar un bombeo máximo de 18 horas diarias por 5 días, más 36 horas durante el fin de semana, es decir, considerar un máximo de 126 horas semanales. </w:t>
      </w:r>
    </w:p>
    <w:p w14:paraId="47B01E8E" w14:textId="77777777" w:rsidR="006933B1" w:rsidRDefault="006933B1" w:rsidP="006933B1">
      <w:pPr>
        <w:jc w:val="both"/>
      </w:pPr>
      <w:r>
        <w:t>Para lo anterior:</w:t>
      </w:r>
    </w:p>
    <w:p w14:paraId="4A910C72" w14:textId="77777777" w:rsidR="006933B1" w:rsidRDefault="006933B1" w:rsidP="006933B1">
      <w:pPr>
        <w:pStyle w:val="Prrafodelista"/>
        <w:numPr>
          <w:ilvl w:val="0"/>
          <w:numId w:val="2"/>
        </w:numPr>
        <w:jc w:val="both"/>
      </w:pPr>
      <w:r>
        <w:t>Se deberá adjuntar un certificado emitido por el o la postulante, donde se comprometa a extraer como máximo las horas indicadas para el cálculo del volumen de diseño.</w:t>
      </w:r>
    </w:p>
    <w:p w14:paraId="309F8651" w14:textId="77777777" w:rsidR="006933B1" w:rsidRDefault="006933B1" w:rsidP="006933B1">
      <w:pPr>
        <w:jc w:val="both"/>
      </w:pPr>
    </w:p>
    <w:p w14:paraId="72F0977B" w14:textId="7E237654" w:rsidR="006933B1" w:rsidRDefault="006933B1" w:rsidP="006933B1">
      <w:pPr>
        <w:pStyle w:val="Prrafodelista"/>
        <w:numPr>
          <w:ilvl w:val="0"/>
          <w:numId w:val="2"/>
        </w:numPr>
        <w:jc w:val="both"/>
      </w:pPr>
      <w:r>
        <w:t xml:space="preserve">Deberá acompañar un balance hídrico, correspondiente a la temporada de riego, donde quede determinada la demanda del cultivo y la superficie de riego, considerando el Q85%. </w:t>
      </w:r>
    </w:p>
    <w:p w14:paraId="12F04385" w14:textId="77777777" w:rsidR="006933B1" w:rsidRDefault="006933B1" w:rsidP="006933B1">
      <w:pPr>
        <w:jc w:val="both"/>
      </w:pPr>
    </w:p>
    <w:p w14:paraId="70668028" w14:textId="34930A90" w:rsidR="00475981" w:rsidRDefault="00475981" w:rsidP="006933B1">
      <w:pPr>
        <w:pStyle w:val="Prrafodelista"/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>Derechos de agua subterráneos y superficiales.</w:t>
      </w:r>
    </w:p>
    <w:p w14:paraId="7C6513E8" w14:textId="77777777" w:rsidR="00475981" w:rsidRDefault="00475981" w:rsidP="00475981">
      <w:pPr>
        <w:pStyle w:val="Prrafodelista"/>
        <w:jc w:val="both"/>
        <w:rPr>
          <w:b/>
          <w:bCs/>
        </w:rPr>
      </w:pPr>
    </w:p>
    <w:p w14:paraId="265B0648" w14:textId="3C7D3B01" w:rsidR="006933B1" w:rsidRPr="00475981" w:rsidRDefault="00475981" w:rsidP="00475981">
      <w:pPr>
        <w:jc w:val="both"/>
      </w:pPr>
      <w:r>
        <w:t xml:space="preserve">          </w:t>
      </w:r>
      <w:r w:rsidR="006933B1" w:rsidRPr="00475981">
        <w:t>Se podrán presentar proyectos que consideren derechos superficiales y</w:t>
      </w:r>
      <w:r>
        <w:t xml:space="preserve">  </w:t>
      </w:r>
      <w:r w:rsidR="006933B1" w:rsidRPr="00475981">
        <w:t>subterráneos, siempre y cuando no se sobrepase el volumen máximo de acumulación de 1.000 m³.</w:t>
      </w:r>
      <w:r>
        <w:t xml:space="preserve"> El volumen de acumulación se realizará por separado correspondiendo a cada tipo de derecho y posterior a ello se deberán sumar los volúmenes obtenidos. </w:t>
      </w:r>
    </w:p>
    <w:p w14:paraId="0D0CBE25" w14:textId="77777777" w:rsidR="006933B1" w:rsidRDefault="006933B1" w:rsidP="006933B1">
      <w:pPr>
        <w:jc w:val="both"/>
        <w:rPr>
          <w:b/>
          <w:bCs/>
        </w:rPr>
      </w:pPr>
    </w:p>
    <w:p w14:paraId="3FC1BEE5" w14:textId="77777777" w:rsidR="006933B1" w:rsidRPr="00730B25" w:rsidRDefault="006933B1" w:rsidP="006933B1">
      <w:pPr>
        <w:pStyle w:val="Prrafodelista"/>
        <w:numPr>
          <w:ilvl w:val="0"/>
          <w:numId w:val="3"/>
        </w:numPr>
        <w:jc w:val="both"/>
        <w:rPr>
          <w:b/>
          <w:bCs/>
        </w:rPr>
      </w:pPr>
      <w:r w:rsidRPr="00730B25">
        <w:rPr>
          <w:b/>
          <w:bCs/>
        </w:rPr>
        <w:t>Otras consideraciones</w:t>
      </w:r>
    </w:p>
    <w:p w14:paraId="06C5274B" w14:textId="77777777" w:rsidR="006933B1" w:rsidRDefault="006933B1" w:rsidP="006933B1">
      <w:pPr>
        <w:jc w:val="both"/>
      </w:pPr>
      <w:r>
        <w:t>Para estos proyectos de acumulación deberá considerar una revancha de 0,3 m.</w:t>
      </w:r>
    </w:p>
    <w:p w14:paraId="54812264" w14:textId="77777777" w:rsidR="006933B1" w:rsidRDefault="006933B1" w:rsidP="006933B1">
      <w:pPr>
        <w:jc w:val="both"/>
      </w:pPr>
      <w:r>
        <w:t>Los embalses podrán contemplar cubierta anti evaporación, si fuera necesario, incluso malla tipo raschel, cuya mantención estará a cargo del beneficiario.</w:t>
      </w:r>
    </w:p>
    <w:p w14:paraId="53B01B12" w14:textId="66880E81" w:rsidR="00475981" w:rsidRDefault="00475981" w:rsidP="006933B1">
      <w:pPr>
        <w:jc w:val="both"/>
      </w:pPr>
      <w:r>
        <w:t xml:space="preserve">Los embalses deberán cumplir con los puntos  del Instructivo técnico </w:t>
      </w:r>
      <w:r w:rsidR="00C91C09">
        <w:t>de Pequeña Agricultura, puntos 5 y 6.2.</w:t>
      </w:r>
    </w:p>
    <w:p w14:paraId="240BC596" w14:textId="77777777" w:rsidR="00C91C09" w:rsidRDefault="00C91C09" w:rsidP="006933B1">
      <w:pPr>
        <w:jc w:val="both"/>
      </w:pPr>
    </w:p>
    <w:p w14:paraId="79112E5E" w14:textId="77777777" w:rsidR="006933B1" w:rsidRDefault="006933B1" w:rsidP="006933B1">
      <w:pPr>
        <w:jc w:val="both"/>
      </w:pPr>
    </w:p>
    <w:p w14:paraId="3E1FF2A3" w14:textId="77777777" w:rsidR="00235A1A" w:rsidRDefault="00235A1A"/>
    <w:sectPr w:rsidR="00235A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A6DD3"/>
    <w:multiLevelType w:val="hybridMultilevel"/>
    <w:tmpl w:val="65FCEB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F27B8"/>
    <w:multiLevelType w:val="hybridMultilevel"/>
    <w:tmpl w:val="C2282B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33392"/>
    <w:multiLevelType w:val="hybridMultilevel"/>
    <w:tmpl w:val="F078F07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E5934"/>
    <w:multiLevelType w:val="hybridMultilevel"/>
    <w:tmpl w:val="0F241F3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F22D6"/>
    <w:multiLevelType w:val="hybridMultilevel"/>
    <w:tmpl w:val="7082A806"/>
    <w:lvl w:ilvl="0" w:tplc="274C0A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57211D"/>
    <w:multiLevelType w:val="hybridMultilevel"/>
    <w:tmpl w:val="0F241F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830180">
    <w:abstractNumId w:val="3"/>
  </w:num>
  <w:num w:numId="2" w16cid:durableId="301887188">
    <w:abstractNumId w:val="5"/>
  </w:num>
  <w:num w:numId="3" w16cid:durableId="315306822">
    <w:abstractNumId w:val="0"/>
  </w:num>
  <w:num w:numId="4" w16cid:durableId="113377505">
    <w:abstractNumId w:val="1"/>
  </w:num>
  <w:num w:numId="5" w16cid:durableId="1375231155">
    <w:abstractNumId w:val="4"/>
  </w:num>
  <w:num w:numId="6" w16cid:durableId="50151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3B1"/>
    <w:rsid w:val="000010B1"/>
    <w:rsid w:val="00235A1A"/>
    <w:rsid w:val="003E456C"/>
    <w:rsid w:val="004418E3"/>
    <w:rsid w:val="00475981"/>
    <w:rsid w:val="004A4952"/>
    <w:rsid w:val="005A36EF"/>
    <w:rsid w:val="006933B1"/>
    <w:rsid w:val="00867CFC"/>
    <w:rsid w:val="00B70BCF"/>
    <w:rsid w:val="00B91ABC"/>
    <w:rsid w:val="00C9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956D"/>
  <w15:chartTrackingRefBased/>
  <w15:docId w15:val="{D0ABDCD8-F681-4BE5-AB49-4BFCFCB0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3B1"/>
  </w:style>
  <w:style w:type="paragraph" w:styleId="Ttulo1">
    <w:name w:val="heading 1"/>
    <w:basedOn w:val="Normal"/>
    <w:next w:val="Normal"/>
    <w:link w:val="Ttulo1Car"/>
    <w:uiPriority w:val="9"/>
    <w:qFormat/>
    <w:rsid w:val="00693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93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933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93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933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93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93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93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93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33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933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933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933B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933B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933B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933B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933B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933B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93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93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933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93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933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933B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933B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933B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933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933B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933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539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VM. Mulchi</dc:creator>
  <cp:keywords/>
  <dc:description/>
  <cp:lastModifiedBy>Valentina VM. Mulchi</cp:lastModifiedBy>
  <cp:revision>6</cp:revision>
  <dcterms:created xsi:type="dcterms:W3CDTF">2024-03-22T14:56:00Z</dcterms:created>
  <dcterms:modified xsi:type="dcterms:W3CDTF">2024-03-25T15:06:00Z</dcterms:modified>
</cp:coreProperties>
</file>